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500" w:lineRule="exact"/>
        <w:jc w:val="left"/>
        <w:rPr>
          <w:rFonts w:hint="eastAsia" w:ascii="黑体" w:hAnsi="黑体" w:eastAsia="黑体" w:cs="仿宋_GB2312"/>
          <w:sz w:val="32"/>
          <w:szCs w:val="32"/>
          <w:lang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2023年阳江市临床医学研究中心建设项目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计划安排表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770"/>
        <w:gridCol w:w="2770"/>
        <w:gridCol w:w="1945"/>
        <w:gridCol w:w="2512"/>
        <w:gridCol w:w="1347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32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97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97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承担单位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参与单位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669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安排财政资金（万元）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32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97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SF2023091</w:t>
            </w:r>
          </w:p>
        </w:tc>
        <w:tc>
          <w:tcPr>
            <w:tcW w:w="977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阳江市心血管病临床医学研究中心</w:t>
            </w:r>
          </w:p>
        </w:tc>
        <w:tc>
          <w:tcPr>
            <w:tcW w:w="68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阳江市中医医院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中山大学孙逸仙纪念医院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陈 健</w:t>
            </w:r>
          </w:p>
        </w:tc>
        <w:tc>
          <w:tcPr>
            <w:tcW w:w="669" w:type="pct"/>
            <w:noWrap w:val="0"/>
            <w:vAlign w:val="center"/>
          </w:tcPr>
          <w:p>
            <w:pPr>
              <w:wordWrap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100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0AF80D02"/>
    <w:rsid w:val="0AF8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39"/>
    <w:pPr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2023-11-20T09:00:00Z</dcterms:created>
  <dc:creator>姚彬彬</dc:creator>
  <cp:lastModifiedBy>姚彬彬</cp:lastModifiedBy>
  <dcterms:modified xsi:type="dcterms:W3CDTF">2023-11-20T09:00:31Z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0D8889D3AF3B481FAC429AF1250F6692_11</vt:lpwstr>
  </property>
</Properties>
</file>